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15" w:rsidRPr="00A81AE7" w:rsidRDefault="00722D15" w:rsidP="00722D15">
      <w:pPr>
        <w:spacing w:after="316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Титульний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аркуш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Повідомлення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  <w:t>(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Повідомлення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про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інформацію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)</w:t>
      </w:r>
    </w:p>
    <w:tbl>
      <w:tblPr>
        <w:tblW w:w="7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3"/>
      </w:tblGrid>
      <w:tr w:rsidR="00722D15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ідтверджую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ідентичність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достовірність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розкрита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відповідно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вимог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Положення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розкриття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емітентами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цінних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паперів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722D15" w:rsidRPr="00A81AE7" w:rsidRDefault="00722D15" w:rsidP="00722D1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5286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1305"/>
        <w:gridCol w:w="5554"/>
        <w:gridCol w:w="1305"/>
        <w:gridCol w:w="3956"/>
      </w:tblGrid>
      <w:tr w:rsidR="00722D15" w:rsidRPr="00A81AE7" w:rsidTr="000F6083">
        <w:tc>
          <w:tcPr>
            <w:tcW w:w="31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Голова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правл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ння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5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Баранов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Костянтин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Миколайович</w:t>
            </w:r>
            <w:proofErr w:type="spellEnd"/>
          </w:p>
        </w:tc>
      </w:tr>
      <w:tr w:rsidR="00722D15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ідпис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ізвище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ініціали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керівника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22D15" w:rsidRPr="00A81AE7" w:rsidTr="000F6083"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Mar>
              <w:top w:w="316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</w:tr>
      <w:tr w:rsidR="00722D15" w:rsidRPr="00A81AE7" w:rsidTr="000F6083">
        <w:tc>
          <w:tcPr>
            <w:tcW w:w="0" w:type="auto"/>
            <w:vMerge/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722D15" w:rsidRPr="00A81AE7" w:rsidRDefault="00722D15" w:rsidP="00722D1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22D15" w:rsidRPr="00A81AE7" w:rsidRDefault="00722D15" w:rsidP="00722D15">
      <w:pPr>
        <w:spacing w:after="237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Особлива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інформація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інформація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про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іпотечні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цінні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папери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сертифікати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фонду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операцій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нерухомістю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)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емітента</w:t>
      </w:r>
      <w:proofErr w:type="spellEnd"/>
    </w:p>
    <w:tbl>
      <w:tblPr>
        <w:tblpPr w:leftFromText="180" w:rightFromText="180" w:vertAnchor="text" w:horzAnchor="margin" w:tblpXSpec="center" w:tblpY="297"/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86"/>
      </w:tblGrid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Повне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емітента</w:t>
            </w:r>
            <w:proofErr w:type="spellEnd"/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ПРИВАТНЕ АКЦ</w:t>
            </w:r>
            <w:proofErr w:type="gramStart"/>
            <w:r w:rsidRPr="00A81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ОНЕРНЕ ТОВАРИСТВО "АРКСI"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Організаційно-правова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форма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Приватне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акціонерне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товариство</w:t>
            </w:r>
            <w:proofErr w:type="spellEnd"/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Місцезнаходження</w:t>
            </w:r>
            <w:proofErr w:type="spellEnd"/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08154, м. Боярка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Києво-Святошинського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району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Київської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област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вул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Соборност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, 36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Ідентифікаційний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14307512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Міжміський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 та телефон, факс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0445029419 0445012022 0445029419 0445012022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Електронна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поштова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адреса</w:t>
            </w:r>
          </w:p>
        </w:tc>
      </w:tr>
      <w:tr w:rsidR="00FD2CA6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ArksiPobyt@emitent.net.ua</w:t>
            </w:r>
          </w:p>
        </w:tc>
      </w:tr>
      <w:tr w:rsidR="00FD2CA6" w:rsidRPr="00A81AE7" w:rsidTr="000F6083">
        <w:tc>
          <w:tcPr>
            <w:tcW w:w="0" w:type="auto"/>
            <w:vAlign w:val="center"/>
            <w:hideMark/>
          </w:tcPr>
          <w:p w:rsidR="00FD2CA6" w:rsidRPr="00A81AE7" w:rsidRDefault="00FD2CA6" w:rsidP="00FD2C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2D15" w:rsidRPr="00A81AE7" w:rsidRDefault="00722D15" w:rsidP="00722D15">
      <w:pPr>
        <w:spacing w:after="237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I.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Загальні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відомості</w:t>
      </w:r>
      <w:proofErr w:type="spellEnd"/>
    </w:p>
    <w:p w:rsidR="00722D15" w:rsidRPr="00A81AE7" w:rsidRDefault="00722D15" w:rsidP="00722D1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22D15" w:rsidRPr="00A81AE7" w:rsidRDefault="00722D15" w:rsidP="00722D15">
      <w:pPr>
        <w:spacing w:after="237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II. </w:t>
      </w:r>
      <w:proofErr w:type="spellStart"/>
      <w:proofErr w:type="gram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Дан</w:t>
      </w:r>
      <w:proofErr w:type="gram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і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про дату та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місце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оприлюднення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Повідомлення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Повідомлення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про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інформацію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)</w:t>
      </w:r>
    </w:p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2815"/>
        <w:gridCol w:w="4967"/>
        <w:gridCol w:w="2410"/>
      </w:tblGrid>
      <w:tr w:rsidR="00722D15" w:rsidRPr="00A81AE7" w:rsidTr="000F6083">
        <w:tc>
          <w:tcPr>
            <w:tcW w:w="12534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розміщено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загальнодоступній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інформаційній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базі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даних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Комі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ії</w:t>
            </w:r>
            <w:proofErr w:type="spellEnd"/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D15" w:rsidRPr="00A81AE7" w:rsidTr="000F6083">
        <w:tc>
          <w:tcPr>
            <w:tcW w:w="12534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722D15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опубліковано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у*</w:t>
            </w:r>
          </w:p>
        </w:tc>
        <w:tc>
          <w:tcPr>
            <w:tcW w:w="649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D15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(номер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офіційного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друкованого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видання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722D15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Повідомлення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розміщено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сторінці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http://www.arksi.pat.ua/</w:t>
            </w: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Інтернет</w:t>
            </w:r>
            <w:proofErr w:type="spellEnd"/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25.03.2019</w:t>
            </w:r>
          </w:p>
        </w:tc>
      </w:tr>
      <w:tr w:rsidR="00722D15" w:rsidRPr="00A81AE7" w:rsidTr="000F60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(адреса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сторінки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722D15" w:rsidRPr="00A81AE7" w:rsidRDefault="00722D15" w:rsidP="00722D15">
      <w:pPr>
        <w:spacing w:after="316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Відомості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про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зміну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акціонерів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яким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належать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голосуючі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акції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розмі</w:t>
      </w:r>
      <w:proofErr w:type="gram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</w:t>
      </w:r>
      <w:proofErr w:type="spellEnd"/>
      <w:proofErr w:type="gram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пакета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яких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стає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більшим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меншим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або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рівним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пороговому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значенню</w:t>
      </w:r>
      <w:proofErr w:type="spellEnd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пакета </w:t>
      </w:r>
      <w:proofErr w:type="spellStart"/>
      <w:r w:rsidRPr="00A81A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акцій</w:t>
      </w:r>
      <w:proofErr w:type="spellEnd"/>
    </w:p>
    <w:tbl>
      <w:tblPr>
        <w:tblW w:w="14647" w:type="dxa"/>
        <w:tblInd w:w="-6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907"/>
        <w:gridCol w:w="6444"/>
        <w:gridCol w:w="2655"/>
        <w:gridCol w:w="1543"/>
        <w:gridCol w:w="1568"/>
        <w:gridCol w:w="43"/>
      </w:tblGrid>
      <w:tr w:rsidR="00722D15" w:rsidRPr="00A81AE7" w:rsidTr="00FD2CA6">
        <w:trPr>
          <w:gridAfter w:val="1"/>
          <w:wAfter w:w="43" w:type="dxa"/>
          <w:trHeight w:val="2863"/>
          <w:tblHeader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Дата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отримання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інформації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Центрального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депозитарію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цінних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паперів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акціонера</w:t>
            </w:r>
            <w:proofErr w:type="spellEnd"/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ізвище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ім'я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по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батькові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фізичної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власників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акцій</w:t>
            </w:r>
            <w:proofErr w:type="spellEnd"/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Ідентифікаційний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код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особи - резидента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код/номер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торговельного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банківського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судового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реєстру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реєстраційного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посвідчення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місцевого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органу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влади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іноземної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держави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реєстрацію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особи - нерезидента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Розмі</w:t>
            </w:r>
            <w:proofErr w:type="gram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частки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акціонера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зміни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(у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відсотках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до статутного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капіталу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Розмі</w:t>
            </w:r>
            <w:proofErr w:type="gram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частки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акціонера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після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зміни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(у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відсотках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до статутного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капіталу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722D15" w:rsidRPr="00A81AE7" w:rsidTr="00FD2CA6">
        <w:trPr>
          <w:gridAfter w:val="1"/>
          <w:wAfter w:w="43" w:type="dxa"/>
          <w:trHeight w:val="2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722D15" w:rsidRPr="00A81AE7" w:rsidTr="00FD2CA6">
        <w:trPr>
          <w:gridAfter w:val="1"/>
          <w:wAfter w:w="43" w:type="dxa"/>
          <w:trHeight w:val="2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22.03.2019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Ємельянова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Людмила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Серг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ївна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/в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38.261940</w:t>
            </w:r>
          </w:p>
        </w:tc>
      </w:tr>
      <w:tr w:rsidR="00722D15" w:rsidRPr="00A81AE7" w:rsidTr="00FD2CA6">
        <w:trPr>
          <w:gridAfter w:val="1"/>
          <w:wAfter w:w="42" w:type="dxa"/>
          <w:trHeight w:val="200"/>
        </w:trPr>
        <w:tc>
          <w:tcPr>
            <w:tcW w:w="14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Змі</w:t>
            </w:r>
            <w:proofErr w:type="gram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  <w:proofErr w:type="gram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інформації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722D15" w:rsidRPr="00A81AE7" w:rsidTr="00FD2CA6">
        <w:trPr>
          <w:gridAfter w:val="1"/>
          <w:wAfter w:w="42" w:type="dxa"/>
          <w:trHeight w:val="2265"/>
        </w:trPr>
        <w:tc>
          <w:tcPr>
            <w:tcW w:w="14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дставi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iнформацiї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отриманої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Центрального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депозитарiю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цiнних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паперiв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ПрАТ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«АРКСI»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надає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вiдомостi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змiну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акцiонерiв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належать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розмiр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стає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бiльшим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меншим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рiвним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пороговому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приватного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акцiонерного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товариства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отримання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нформацiї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22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березня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2019 року.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Прiзвище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iм’я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батьковi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фiзичної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належать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розмiр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стає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бiльшим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меншим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рiвним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пороговому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Ємельянова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Людмила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Сергiївна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Iдентифiкацiйний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- резидента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код/номер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торговельного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банкiвського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судового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реєстру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реєстрацiйного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посвiдчення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мiсцевого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органу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влади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iноземної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держави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реєстрацiю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(для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- нерезидента)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:-.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Дiя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чином (прямо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опосередковано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вона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вiдбувалась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,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пряме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частки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загальнiй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кiлькостi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пiсля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такий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пiдсумковий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):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– 0%; 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пiсля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- 38,261940%. 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Вiдомостi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осiб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прiзвище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iм’я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батьковi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фiзичної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iдентифiкацiйний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вiдсоток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прав голосу,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якщо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вiн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дорiвнює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перевищує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порогове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входять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ланцюга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володiння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корпоративними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правами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особи, через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особа (особи,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дiють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спiльно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здiйснює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розпорядження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акцiями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вiдсутнi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Дата, 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яку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пороговi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було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досягнуто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перетнуто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(за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наявностi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данi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вiдсутнi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22D15" w:rsidRPr="00A81AE7" w:rsidTr="00FD2CA6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22.03.2019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ТОВАРИСТВО 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ОБМЕЖЕНОЮ ВIДПОВIДАЛЬНIСТЮ "АДЕЙ КОНСТРАКШНЗ"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32684035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38.261940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" w:type="dxa"/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D15" w:rsidRPr="00A81AE7" w:rsidTr="00FD2CA6">
        <w:trPr>
          <w:gridAfter w:val="1"/>
          <w:wAfter w:w="42" w:type="dxa"/>
          <w:trHeight w:val="200"/>
        </w:trPr>
        <w:tc>
          <w:tcPr>
            <w:tcW w:w="14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Змі</w:t>
            </w:r>
            <w:proofErr w:type="gram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</w:t>
            </w:r>
            <w:proofErr w:type="spellEnd"/>
            <w:proofErr w:type="gram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інформації</w:t>
            </w:r>
            <w:proofErr w:type="spellEnd"/>
            <w:r w:rsidRPr="00A81A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722D15" w:rsidRPr="00A81AE7" w:rsidTr="00FD2CA6">
        <w:trPr>
          <w:gridAfter w:val="1"/>
          <w:wAfter w:w="42" w:type="dxa"/>
          <w:trHeight w:val="427"/>
        </w:trPr>
        <w:tc>
          <w:tcPr>
            <w:tcW w:w="146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D15" w:rsidRPr="00A81AE7" w:rsidRDefault="00722D15" w:rsidP="00722D15">
            <w:pPr>
              <w:spacing w:after="0" w:line="240" w:lineRule="auto"/>
              <w:ind w:firstLine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дставi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iнформацiї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отриманої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Центрального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депозитарiю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цiнних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паперiв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ПрАТ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«АРКСI»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надає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вiдомостi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змiну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акцiонерiв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належать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розмiр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стає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бiльшим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меншим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рiвним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пороговому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приватного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акцiонерного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товариства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отримання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нформацiї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22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березня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2019 року.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Прiзвище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iм’я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батьковi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фiзичної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належать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розмiр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стає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бiльшим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меншим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рiвним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пороговому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ТОВАРИСТВО 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ОБМЕЖЕНОЮ ВIДПОВIДАЛЬНIСТЮ "АДЕЙ КОНСТРАКШНЗ".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дентифiкацiйний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- резидента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код/номер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торговельного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банкiвського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судового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реєстру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реєстрацiйного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посвiдчення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мiсцевого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органу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влади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iноземної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держави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реєстрацiю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(для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- нерезидента)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: 32684035.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чином (прямо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опосередковано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вона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вiдбувалась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пряме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Розм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частки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власникiв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загальнiй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кiлькостi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пiсля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набуття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права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власностi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такий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пiдсумковий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пакет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голосуючих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):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– 38,261940%; </w:t>
            </w:r>
            <w:proofErr w:type="spellStart"/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пiсля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вiдчуження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- 0%. 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Вiдомостi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осiб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прiзвище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iм’я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, по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батьковi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фiзичної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iдентифiкацiйний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код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вiдсоток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прав голосу,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якщо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вiн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дорiвнює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перевищує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порогове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входять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ланцюга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володiння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корпоративними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правами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юридичної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особи, через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особа (особи,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дiють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спiльно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здiйснює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ють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розпорядження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акцiями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: особи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вiдсутнi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81A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Дата, </w:t>
            </w:r>
            <w:proofErr w:type="gram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яку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пороговi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значення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було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досягнуто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або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перетнуто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(за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наявностi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данi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вiдсутнi</w:t>
            </w:r>
            <w:proofErr w:type="spellEnd"/>
            <w:r w:rsidRPr="00A81A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56257" w:rsidRPr="00A81AE7" w:rsidRDefault="00E56257">
      <w:pPr>
        <w:rPr>
          <w:rFonts w:ascii="Times New Roman" w:hAnsi="Times New Roman" w:cs="Times New Roman"/>
          <w:sz w:val="16"/>
          <w:szCs w:val="16"/>
        </w:rPr>
      </w:pPr>
    </w:p>
    <w:sectPr w:rsidR="00E56257" w:rsidRPr="00A81AE7" w:rsidSect="00FD2CA6">
      <w:footerReference w:type="default" r:id="rId6"/>
      <w:pgSz w:w="16838" w:h="11906" w:orient="landscape"/>
      <w:pgMar w:top="1797" w:right="1440" w:bottom="1440" w:left="1440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E2" w:rsidRDefault="009646E2" w:rsidP="009646E2">
      <w:pPr>
        <w:spacing w:after="0" w:line="240" w:lineRule="auto"/>
      </w:pPr>
      <w:r>
        <w:separator/>
      </w:r>
    </w:p>
  </w:endnote>
  <w:endnote w:type="continuationSeparator" w:id="0">
    <w:p w:rsidR="009646E2" w:rsidRDefault="009646E2" w:rsidP="0096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E2" w:rsidRDefault="009646E2" w:rsidP="009646E2">
    <w:pPr>
      <w:pStyle w:val="a8"/>
      <w:rPr>
        <w:rFonts w:ascii="Times New Roman" w:hAnsi="Times New Roman"/>
        <w:color w:val="000000"/>
        <w:sz w:val="16"/>
        <w:szCs w:val="16"/>
        <w:lang w:val="ru-RU"/>
      </w:rPr>
    </w:pPr>
    <w:proofErr w:type="spellStart"/>
    <w:r>
      <w:rPr>
        <w:rFonts w:ascii="Times New Roman" w:hAnsi="Times New Roman"/>
        <w:sz w:val="16"/>
        <w:szCs w:val="16"/>
        <w:lang w:val="ru-RU"/>
      </w:rPr>
      <w:t>Інформація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надається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у </w:t>
    </w:r>
    <w:proofErr w:type="spellStart"/>
    <w:r>
      <w:rPr>
        <w:rFonts w:ascii="Times New Roman" w:hAnsi="Times New Roman"/>
        <w:sz w:val="16"/>
        <w:szCs w:val="16"/>
        <w:lang w:val="ru-RU"/>
      </w:rPr>
      <w:t>формі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електронного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документу </w:t>
    </w:r>
    <w:proofErr w:type="spellStart"/>
    <w:r>
      <w:rPr>
        <w:rFonts w:ascii="Times New Roman" w:hAnsi="Times New Roman"/>
        <w:sz w:val="16"/>
        <w:szCs w:val="16"/>
        <w:lang w:val="ru-RU"/>
      </w:rPr>
      <w:t>із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застосуванням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кваліфікованого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електронного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proofErr w:type="gramStart"/>
    <w:r>
      <w:rPr>
        <w:rFonts w:ascii="Times New Roman" w:hAnsi="Times New Roman"/>
        <w:sz w:val="16"/>
        <w:szCs w:val="16"/>
        <w:lang w:val="ru-RU"/>
      </w:rPr>
      <w:t>п</w:t>
    </w:r>
    <w:proofErr w:type="gramEnd"/>
    <w:r>
      <w:rPr>
        <w:rFonts w:ascii="Times New Roman" w:hAnsi="Times New Roman"/>
        <w:sz w:val="16"/>
        <w:szCs w:val="16"/>
        <w:lang w:val="ru-RU"/>
      </w:rPr>
      <w:t>ідпису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уповноваженої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особи </w:t>
    </w:r>
    <w:proofErr w:type="spellStart"/>
    <w:r>
      <w:rPr>
        <w:rFonts w:ascii="Times New Roman" w:hAnsi="Times New Roman"/>
        <w:sz w:val="16"/>
        <w:szCs w:val="16"/>
        <w:lang w:val="ru-RU"/>
      </w:rPr>
      <w:t>емітента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sz w:val="16"/>
        <w:szCs w:val="16"/>
        <w:lang w:val="ru-RU"/>
      </w:rPr>
      <w:t>емітента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, </w:t>
    </w:r>
    <w:proofErr w:type="spellStart"/>
    <w:r>
      <w:rPr>
        <w:rFonts w:ascii="Times New Roman" w:hAnsi="Times New Roman"/>
        <w:sz w:val="16"/>
        <w:szCs w:val="16"/>
        <w:lang w:val="ru-RU"/>
      </w:rPr>
      <w:t>який</w:t>
    </w:r>
    <w:proofErr w:type="spellEnd"/>
    <w:r>
      <w:rPr>
        <w:rFonts w:ascii="Times New Roman" w:hAnsi="Times New Roman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накладений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з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використанням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програмного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забезпечення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Центрального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засвідчувального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органу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Міністерства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юстиції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(ЦЗО). </w:t>
    </w:r>
  </w:p>
  <w:p w:rsidR="009646E2" w:rsidRDefault="009646E2" w:rsidP="009646E2">
    <w:pPr>
      <w:pStyle w:val="a8"/>
      <w:rPr>
        <w:rFonts w:ascii="Times New Roman" w:hAnsi="Times New Roman"/>
        <w:color w:val="000000"/>
        <w:sz w:val="16"/>
        <w:szCs w:val="16"/>
        <w:lang w:val="ru-RU"/>
      </w:rPr>
    </w:pP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Інструкція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по </w:t>
    </w:r>
    <w:proofErr w:type="spellStart"/>
    <w:r>
      <w:rPr>
        <w:rFonts w:ascii="Times New Roman" w:hAnsi="Times New Roman"/>
        <w:color w:val="000000"/>
        <w:sz w:val="16"/>
        <w:szCs w:val="16"/>
        <w:lang w:val="ru-RU"/>
      </w:rPr>
      <w:t>верифікації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 </w:t>
    </w:r>
    <w:proofErr w:type="spellStart"/>
    <w:proofErr w:type="gramStart"/>
    <w:r>
      <w:rPr>
        <w:rFonts w:ascii="Times New Roman" w:hAnsi="Times New Roman"/>
        <w:color w:val="000000"/>
        <w:sz w:val="16"/>
        <w:szCs w:val="16"/>
        <w:lang w:val="ru-RU"/>
      </w:rPr>
      <w:t>п</w:t>
    </w:r>
    <w:proofErr w:type="gramEnd"/>
    <w:r>
      <w:rPr>
        <w:rFonts w:ascii="Times New Roman" w:hAnsi="Times New Roman"/>
        <w:color w:val="000000"/>
        <w:sz w:val="16"/>
        <w:szCs w:val="16"/>
        <w:lang w:val="ru-RU"/>
      </w:rPr>
      <w:t>ідписів</w:t>
    </w:r>
    <w:proofErr w:type="spellEnd"/>
    <w:r>
      <w:rPr>
        <w:rFonts w:ascii="Times New Roman" w:hAnsi="Times New Roman"/>
        <w:color w:val="000000"/>
        <w:sz w:val="16"/>
        <w:szCs w:val="16"/>
        <w:lang w:val="ru-RU"/>
      </w:rPr>
      <w:t xml:space="preserve">: </w:t>
    </w:r>
    <w:hyperlink r:id="rId1" w:tgtFrame="_blank" w:history="1">
      <w:r>
        <w:rPr>
          <w:rStyle w:val="a7"/>
          <w:rFonts w:ascii="Times New Roman" w:eastAsiaTheme="majorEastAsia" w:hAnsi="Times New Roman"/>
          <w:sz w:val="16"/>
          <w:szCs w:val="16"/>
        </w:rPr>
        <w:t>https</w:t>
      </w:r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://</w:t>
      </w:r>
      <w:r>
        <w:rPr>
          <w:rStyle w:val="a7"/>
          <w:rFonts w:ascii="Times New Roman" w:eastAsiaTheme="majorEastAsia" w:hAnsi="Times New Roman"/>
          <w:sz w:val="16"/>
          <w:szCs w:val="16"/>
        </w:rPr>
        <w:t>www</w:t>
      </w:r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eastAsiaTheme="majorEastAsia" w:hAnsi="Times New Roman"/>
          <w:sz w:val="16"/>
          <w:szCs w:val="16"/>
        </w:rPr>
        <w:t>csd</w:t>
      </w:r>
      <w:proofErr w:type="spellEnd"/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eastAsiaTheme="majorEastAsia" w:hAnsi="Times New Roman"/>
          <w:sz w:val="16"/>
          <w:szCs w:val="16"/>
        </w:rPr>
        <w:t>ua</w:t>
      </w:r>
      <w:proofErr w:type="spellEnd"/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/</w:t>
      </w:r>
      <w:r>
        <w:rPr>
          <w:rStyle w:val="a7"/>
          <w:rFonts w:ascii="Times New Roman" w:eastAsiaTheme="majorEastAsia" w:hAnsi="Times New Roman"/>
          <w:sz w:val="16"/>
          <w:szCs w:val="16"/>
        </w:rPr>
        <w:t>images</w:t>
      </w:r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/</w:t>
      </w:r>
      <w:r>
        <w:rPr>
          <w:rStyle w:val="a7"/>
          <w:rFonts w:ascii="Times New Roman" w:eastAsiaTheme="majorEastAsia" w:hAnsi="Times New Roman"/>
          <w:sz w:val="16"/>
          <w:szCs w:val="16"/>
        </w:rPr>
        <w:t>stories</w:t>
      </w:r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/</w:t>
      </w:r>
      <w:proofErr w:type="spellStart"/>
      <w:r>
        <w:rPr>
          <w:rStyle w:val="a7"/>
          <w:rFonts w:ascii="Times New Roman" w:eastAsiaTheme="majorEastAsia" w:hAnsi="Times New Roman"/>
          <w:sz w:val="16"/>
          <w:szCs w:val="16"/>
        </w:rPr>
        <w:t>pdf</w:t>
      </w:r>
      <w:proofErr w:type="spellEnd"/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/</w:t>
      </w:r>
      <w:proofErr w:type="spellStart"/>
      <w:r>
        <w:rPr>
          <w:rStyle w:val="a7"/>
          <w:rFonts w:ascii="Times New Roman" w:eastAsiaTheme="majorEastAsia" w:hAnsi="Times New Roman"/>
          <w:sz w:val="16"/>
          <w:szCs w:val="16"/>
        </w:rPr>
        <w:t>instr</w:t>
      </w:r>
      <w:proofErr w:type="spellEnd"/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_</w:t>
      </w:r>
      <w:r>
        <w:rPr>
          <w:rStyle w:val="a7"/>
          <w:rFonts w:ascii="Times New Roman" w:eastAsiaTheme="majorEastAsia" w:hAnsi="Times New Roman"/>
          <w:sz w:val="16"/>
          <w:szCs w:val="16"/>
        </w:rPr>
        <w:t>check</w:t>
      </w:r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_</w:t>
      </w:r>
      <w:r>
        <w:rPr>
          <w:rStyle w:val="a7"/>
          <w:rFonts w:ascii="Times New Roman" w:eastAsiaTheme="majorEastAsia" w:hAnsi="Times New Roman"/>
          <w:sz w:val="16"/>
          <w:szCs w:val="16"/>
        </w:rPr>
        <w:t>online</w:t>
      </w:r>
      <w:r>
        <w:rPr>
          <w:rStyle w:val="a7"/>
          <w:rFonts w:ascii="Times New Roman" w:eastAsiaTheme="majorEastAsia" w:hAnsi="Times New Roman"/>
          <w:sz w:val="16"/>
          <w:szCs w:val="16"/>
          <w:lang w:val="ru-RU"/>
        </w:rPr>
        <w:t>.</w:t>
      </w:r>
      <w:proofErr w:type="spellStart"/>
      <w:r>
        <w:rPr>
          <w:rStyle w:val="a7"/>
          <w:rFonts w:ascii="Times New Roman" w:eastAsiaTheme="majorEastAsia" w:hAnsi="Times New Roman"/>
          <w:sz w:val="16"/>
          <w:szCs w:val="16"/>
        </w:rPr>
        <w:t>pdf</w:t>
      </w:r>
      <w:proofErr w:type="spellEnd"/>
    </w:hyperlink>
  </w:p>
  <w:p w:rsidR="009646E2" w:rsidRDefault="009646E2" w:rsidP="009646E2">
    <w:pPr>
      <w:pStyle w:val="a8"/>
      <w:rPr>
        <w:rFonts w:ascii="Times New Roman" w:hAnsi="Times New Roman"/>
        <w:sz w:val="16"/>
        <w:szCs w:val="16"/>
        <w:lang w:val="ru-RU"/>
      </w:rPr>
    </w:pPr>
  </w:p>
  <w:p w:rsidR="009646E2" w:rsidRDefault="009646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E2" w:rsidRDefault="009646E2" w:rsidP="009646E2">
      <w:pPr>
        <w:spacing w:after="0" w:line="240" w:lineRule="auto"/>
      </w:pPr>
      <w:r>
        <w:separator/>
      </w:r>
    </w:p>
  </w:footnote>
  <w:footnote w:type="continuationSeparator" w:id="0">
    <w:p w:rsidR="009646E2" w:rsidRDefault="009646E2" w:rsidP="00964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mirrorMargins/>
  <w:proofState w:spelling="clean" w:grammar="clean"/>
  <w:stylePaneFormatFilter w:val="872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15"/>
    <w:rsid w:val="00052AA9"/>
    <w:rsid w:val="0009235A"/>
    <w:rsid w:val="000F6083"/>
    <w:rsid w:val="002705EA"/>
    <w:rsid w:val="002C0481"/>
    <w:rsid w:val="00395061"/>
    <w:rsid w:val="003D3EF6"/>
    <w:rsid w:val="003F3AD0"/>
    <w:rsid w:val="00406490"/>
    <w:rsid w:val="004536F0"/>
    <w:rsid w:val="00485A5D"/>
    <w:rsid w:val="00492B23"/>
    <w:rsid w:val="004D05AB"/>
    <w:rsid w:val="005030CB"/>
    <w:rsid w:val="00526652"/>
    <w:rsid w:val="00581626"/>
    <w:rsid w:val="00587FA9"/>
    <w:rsid w:val="005C416A"/>
    <w:rsid w:val="006350DD"/>
    <w:rsid w:val="0066401C"/>
    <w:rsid w:val="006C622D"/>
    <w:rsid w:val="006E48D1"/>
    <w:rsid w:val="007177AA"/>
    <w:rsid w:val="00722D15"/>
    <w:rsid w:val="00755349"/>
    <w:rsid w:val="00824ACF"/>
    <w:rsid w:val="00844CDF"/>
    <w:rsid w:val="00876F78"/>
    <w:rsid w:val="00877702"/>
    <w:rsid w:val="00882B27"/>
    <w:rsid w:val="009646E2"/>
    <w:rsid w:val="009B1020"/>
    <w:rsid w:val="00A02488"/>
    <w:rsid w:val="00A0372E"/>
    <w:rsid w:val="00A34528"/>
    <w:rsid w:val="00A81AE7"/>
    <w:rsid w:val="00A97A63"/>
    <w:rsid w:val="00C64B86"/>
    <w:rsid w:val="00C81F1B"/>
    <w:rsid w:val="00C94E60"/>
    <w:rsid w:val="00CD03E5"/>
    <w:rsid w:val="00CD6624"/>
    <w:rsid w:val="00D100AD"/>
    <w:rsid w:val="00D37AC2"/>
    <w:rsid w:val="00D751AC"/>
    <w:rsid w:val="00DB31A6"/>
    <w:rsid w:val="00E01D39"/>
    <w:rsid w:val="00E03C19"/>
    <w:rsid w:val="00E03CE8"/>
    <w:rsid w:val="00E56257"/>
    <w:rsid w:val="00E67FD7"/>
    <w:rsid w:val="00E710DC"/>
    <w:rsid w:val="00E77452"/>
    <w:rsid w:val="00FD0BFC"/>
    <w:rsid w:val="00FD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6F7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2AA9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qFormat/>
    <w:rsid w:val="00052AA9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qFormat/>
    <w:rsid w:val="00052AA9"/>
    <w:pPr>
      <w:keepNext/>
      <w:widowControl w:val="0"/>
      <w:jc w:val="center"/>
      <w:outlineLvl w:val="3"/>
    </w:pPr>
    <w:rPr>
      <w:b/>
      <w:sz w:val="16"/>
      <w:szCs w:val="20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F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6F78"/>
    <w:rPr>
      <w:rFonts w:ascii="Arial" w:hAnsi="Arial" w:cs="Arial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876F78"/>
    <w:rPr>
      <w:rFonts w:ascii="Arial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uiPriority w:val="9"/>
    <w:rsid w:val="00876F78"/>
    <w:rPr>
      <w:b/>
      <w:sz w:val="16"/>
      <w:lang w:val="uk-UA" w:eastAsia="ja-JP"/>
    </w:rPr>
  </w:style>
  <w:style w:type="character" w:customStyle="1" w:styleId="small-text">
    <w:name w:val="small-text"/>
    <w:basedOn w:val="a0"/>
    <w:rsid w:val="00722D15"/>
  </w:style>
  <w:style w:type="character" w:customStyle="1" w:styleId="apple-converted-space">
    <w:name w:val="apple-converted-space"/>
    <w:basedOn w:val="a0"/>
    <w:rsid w:val="00722D15"/>
  </w:style>
  <w:style w:type="paragraph" w:styleId="a3">
    <w:name w:val="header"/>
    <w:basedOn w:val="a"/>
    <w:link w:val="a4"/>
    <w:uiPriority w:val="99"/>
    <w:semiHidden/>
    <w:unhideWhenUsed/>
    <w:rsid w:val="0096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46E2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6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6E2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646E2"/>
    <w:rPr>
      <w:color w:val="0000FF"/>
      <w:u w:val="single"/>
    </w:rPr>
  </w:style>
  <w:style w:type="paragraph" w:styleId="a8">
    <w:name w:val="No Spacing"/>
    <w:basedOn w:val="a"/>
    <w:uiPriority w:val="1"/>
    <w:qFormat/>
    <w:rsid w:val="009646E2"/>
    <w:pPr>
      <w:spacing w:after="0" w:line="240" w:lineRule="auto"/>
    </w:pPr>
    <w:rPr>
      <w:rFonts w:ascii="Cambria" w:hAnsi="Cambria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d.ua/images/stories/pdf/instr_check_onlin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4764</Characters>
  <Application>Microsoft Office Word</Application>
  <DocSecurity>0</DocSecurity>
  <Lines>39</Lines>
  <Paragraphs>11</Paragraphs>
  <ScaleCrop>false</ScaleCrop>
  <Company>Microsoft Corporation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2019-03-25T14:58:00Z</dcterms:created>
  <dcterms:modified xsi:type="dcterms:W3CDTF">2019-03-25T15:04:00Z</dcterms:modified>
</cp:coreProperties>
</file>